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-jdc"/>
        <w:tblW w:w="5000" w:type="pct"/>
        <w:jc w:val="lef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825"/>
        <w:gridCol w:w="7535"/>
      </w:tblGrid>
      <w:tr w:rsidR="009F35BB" w:rsidRPr="004F2783" w14:paraId="1C9CE2B7" w14:textId="77777777" w:rsidTr="00EA0EFD">
        <w:trPr>
          <w:jc w:val="left"/>
        </w:trPr>
        <w:tc>
          <w:tcPr>
            <w:tcW w:w="2825" w:type="dxa"/>
          </w:tcPr>
          <w:p w14:paraId="14E1B963" w14:textId="77777777" w:rsidR="009F35BB" w:rsidRPr="00F71392" w:rsidRDefault="009F35BB" w:rsidP="004C34EB">
            <w:pPr>
              <w:keepNext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F71392">
              <w:rPr>
                <w:rFonts w:ascii="Arial" w:hAnsi="Arial" w:cs="Arial"/>
                <w:b/>
                <w:sz w:val="32"/>
              </w:rPr>
              <w:t xml:space="preserve">Project </w:t>
            </w: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7535" w:type="dxa"/>
          </w:tcPr>
          <w:p w14:paraId="3291C0C4" w14:textId="77777777" w:rsidR="009F35BB" w:rsidRPr="00F71392" w:rsidRDefault="009F35BB" w:rsidP="004C34EB">
            <w:pPr>
              <w:rPr>
                <w:i/>
              </w:rPr>
            </w:pPr>
            <w:r w:rsidRPr="00F71392">
              <w:rPr>
                <w:i/>
                <w:sz w:val="32"/>
              </w:rPr>
              <w:t>Incident Response</w:t>
            </w:r>
          </w:p>
        </w:tc>
      </w:tr>
      <w:tr w:rsidR="009F35BB" w:rsidRPr="004F2783" w14:paraId="790A5463" w14:textId="77777777" w:rsidTr="00EA0EFD">
        <w:trPr>
          <w:jc w:val="left"/>
        </w:trPr>
        <w:tc>
          <w:tcPr>
            <w:tcW w:w="2825" w:type="dxa"/>
          </w:tcPr>
          <w:p w14:paraId="49B25335" w14:textId="77777777" w:rsidR="009F35BB" w:rsidRPr="00F71392" w:rsidRDefault="009F35BB" w:rsidP="004C34EB">
            <w:pPr>
              <w:keepNext/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Brief description/purpose</w:t>
            </w:r>
          </w:p>
        </w:tc>
        <w:tc>
          <w:tcPr>
            <w:tcW w:w="7535" w:type="dxa"/>
          </w:tcPr>
          <w:p w14:paraId="592EF217" w14:textId="77777777" w:rsidR="009F35BB" w:rsidRPr="00F71392" w:rsidRDefault="009F35BB" w:rsidP="004C34EB">
            <w:r w:rsidRPr="00F71392">
              <w:t>Teams of students will review an organization’s incident response policies, procedures, framework, and roles/responsibilities. They will then analyze the data to develop an incident response questionnaire and complete an investigation form as part of the incident response process.</w:t>
            </w:r>
          </w:p>
        </w:tc>
      </w:tr>
      <w:tr w:rsidR="009F35BB" w:rsidRPr="004F2783" w14:paraId="62127C29" w14:textId="77777777" w:rsidTr="00EA0EFD">
        <w:trPr>
          <w:jc w:val="left"/>
        </w:trPr>
        <w:tc>
          <w:tcPr>
            <w:tcW w:w="2825" w:type="dxa"/>
          </w:tcPr>
          <w:p w14:paraId="1C5459B8" w14:textId="77777777" w:rsidR="009F35BB" w:rsidRPr="00F71392" w:rsidRDefault="009F35BB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Courses to integrate</w:t>
            </w:r>
          </w:p>
        </w:tc>
        <w:tc>
          <w:tcPr>
            <w:tcW w:w="7535" w:type="dxa"/>
          </w:tcPr>
          <w:p w14:paraId="6B02B624" w14:textId="77777777" w:rsidR="009F35BB" w:rsidRPr="004F2783" w:rsidRDefault="009F35BB" w:rsidP="004C34EB">
            <w:r w:rsidRPr="000074C5">
              <w:t>NDG Security+ Lab 4, Incident Response Procedures</w:t>
            </w:r>
          </w:p>
        </w:tc>
      </w:tr>
      <w:tr w:rsidR="009F35BB" w:rsidRPr="004F2783" w14:paraId="7FFCFEDF" w14:textId="77777777" w:rsidTr="00EA0EFD">
        <w:trPr>
          <w:jc w:val="left"/>
        </w:trPr>
        <w:tc>
          <w:tcPr>
            <w:tcW w:w="2825" w:type="dxa"/>
          </w:tcPr>
          <w:p w14:paraId="7A321F1C" w14:textId="77777777" w:rsidR="009F35BB" w:rsidRPr="00F71392" w:rsidRDefault="009F35BB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Key terms/major topics</w:t>
            </w:r>
          </w:p>
        </w:tc>
        <w:tc>
          <w:tcPr>
            <w:tcW w:w="7535" w:type="dxa"/>
          </w:tcPr>
          <w:p w14:paraId="6FE07CCA" w14:textId="77777777" w:rsidR="009F35BB" w:rsidRPr="00AA7D41" w:rsidRDefault="009F35BB" w:rsidP="004C34EB">
            <w:pPr>
              <w:pStyle w:val="ListParagraph"/>
            </w:pPr>
            <w:r w:rsidRPr="00F437C9">
              <w:rPr>
                <w:i/>
              </w:rPr>
              <w:t>Key terms:</w:t>
            </w:r>
            <w:r>
              <w:t xml:space="preserve"> </w:t>
            </w:r>
            <w:r w:rsidRPr="00F437C9">
              <w:t>Incident response, CIRT, Policies, Incident Response Policies, Incident Response Procedure, data breach</w:t>
            </w:r>
          </w:p>
          <w:p w14:paraId="122048E6" w14:textId="77777777" w:rsidR="009F35BB" w:rsidRPr="00E016C4" w:rsidRDefault="009F35BB" w:rsidP="004C34EB">
            <w:pPr>
              <w:pStyle w:val="ListParagraph"/>
            </w:pPr>
            <w:r w:rsidRPr="004F2783">
              <w:rPr>
                <w:i/>
              </w:rPr>
              <w:t>Technical skills</w:t>
            </w:r>
            <w:r w:rsidRPr="00FA46FC">
              <w:rPr>
                <w:i/>
              </w:rPr>
              <w:t>:</w:t>
            </w:r>
            <w:r w:rsidRPr="00FA46FC">
              <w:t xml:space="preserve"> </w:t>
            </w:r>
            <w:r w:rsidRPr="00AE32EE">
              <w:t>Analyze the incident response policy, procedure, and workflow process to develop an incident response questionnaire</w:t>
            </w:r>
            <w:r>
              <w:t xml:space="preserve"> to cope with a serious </w:t>
            </w:r>
            <w:r w:rsidRPr="00E016C4">
              <w:t>data breach</w:t>
            </w:r>
            <w:r>
              <w:t>.</w:t>
            </w:r>
          </w:p>
          <w:p w14:paraId="7B99483D" w14:textId="77777777" w:rsidR="009F35BB" w:rsidRDefault="009F35BB" w:rsidP="004C34EB">
            <w:pPr>
              <w:pStyle w:val="ListParagraph"/>
            </w:pPr>
            <w:r w:rsidRPr="00F71392">
              <w:rPr>
                <w:i/>
              </w:rPr>
              <w:t>Employability skills:</w:t>
            </w:r>
            <w:r w:rsidRPr="00E016C4">
              <w:t xml:space="preserve"> </w:t>
            </w:r>
          </w:p>
          <w:p w14:paraId="42753E34" w14:textId="77777777" w:rsidR="009F35BB" w:rsidRDefault="009F35BB" w:rsidP="009F35BB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F437C9">
              <w:rPr>
                <w:b/>
              </w:rPr>
              <w:t>Teamwork</w:t>
            </w:r>
            <w:r>
              <w:rPr>
                <w:b/>
              </w:rPr>
              <w:t>.</w:t>
            </w:r>
            <w:r>
              <w:t xml:space="preserve"> </w:t>
            </w:r>
            <w:r w:rsidRPr="00A70956">
              <w:t>Develop interview questions that determine if the incident should trigger a CIR level investigation</w:t>
            </w:r>
            <w:r>
              <w:t>.</w:t>
            </w:r>
          </w:p>
          <w:p w14:paraId="26E0160D" w14:textId="47E1EB6A" w:rsidR="009F35BB" w:rsidRDefault="009F35BB" w:rsidP="009F35BB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E634F6">
              <w:rPr>
                <w:b/>
              </w:rPr>
              <w:t xml:space="preserve">Problem solving. </w:t>
            </w:r>
            <w:r w:rsidRPr="00A70956">
              <w:t>Analyze the incident response policy, procedures</w:t>
            </w:r>
            <w:r w:rsidR="007522CF">
              <w:t>,</w:t>
            </w:r>
            <w:r w:rsidRPr="00A70956">
              <w:t xml:space="preserve"> and workflow processes to identify questions that can be used to differentiate a CIR</w:t>
            </w:r>
            <w:r w:rsidR="007522CF">
              <w:t>-</w:t>
            </w:r>
            <w:r w:rsidRPr="00A70956">
              <w:t>level investigation versus a non-critical investigation.</w:t>
            </w:r>
          </w:p>
          <w:p w14:paraId="7DBABD4C" w14:textId="77777777" w:rsidR="009F35BB" w:rsidRPr="00E634F6" w:rsidRDefault="009F35BB" w:rsidP="009F35BB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A70956">
              <w:rPr>
                <w:b/>
              </w:rPr>
              <w:t xml:space="preserve">Written communications. </w:t>
            </w:r>
            <w:r w:rsidRPr="00A70956">
              <w:t>Write questions designed to gather relevant qualitative data associated with the incident.</w:t>
            </w:r>
          </w:p>
        </w:tc>
      </w:tr>
      <w:tr w:rsidR="00EA0EFD" w:rsidRPr="004F2783" w14:paraId="4DF33F39" w14:textId="77777777" w:rsidTr="00EA0EFD">
        <w:trPr>
          <w:jc w:val="left"/>
        </w:trPr>
        <w:tc>
          <w:tcPr>
            <w:tcW w:w="2825" w:type="dxa"/>
          </w:tcPr>
          <w:p w14:paraId="27CAB15E" w14:textId="77777777" w:rsidR="00EA0EFD" w:rsidRPr="00F71392" w:rsidRDefault="00EA0EFD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 xml:space="preserve">Equipment/materials </w:t>
            </w:r>
          </w:p>
        </w:tc>
        <w:tc>
          <w:tcPr>
            <w:tcW w:w="7535" w:type="dxa"/>
          </w:tcPr>
          <w:p w14:paraId="26031C78" w14:textId="77777777" w:rsidR="00EA0EFD" w:rsidRDefault="00EA0EFD" w:rsidP="004C34EB">
            <w:pPr>
              <w:pStyle w:val="ListParagraph"/>
            </w:pPr>
            <w:r w:rsidRPr="00305A0E">
              <w:rPr>
                <w:b/>
              </w:rPr>
              <w:t>Internet access</w:t>
            </w:r>
            <w:r>
              <w:t xml:space="preserve"> to:</w:t>
            </w:r>
          </w:p>
          <w:p w14:paraId="6067FFB5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>
              <w:t xml:space="preserve">Incident Handler’s Handbook: </w:t>
            </w:r>
            <w:hyperlink r:id="rId7" w:history="1">
              <w:r w:rsidRPr="00D80799">
                <w:rPr>
                  <w:rStyle w:val="Hyperlink"/>
                </w:rPr>
                <w:t>https://www.sans.org/reading-room/whitepapers</w:t>
              </w:r>
              <w:r w:rsidRPr="00D80799">
                <w:rPr>
                  <w:rStyle w:val="Hyperlink"/>
                </w:rPr>
                <w:t>/</w:t>
              </w:r>
              <w:r w:rsidRPr="00D80799">
                <w:rPr>
                  <w:rStyle w:val="Hyperlink"/>
                </w:rPr>
                <w:t>incident/incident-handlers-handbook-33901</w:t>
              </w:r>
            </w:hyperlink>
          </w:p>
          <w:p w14:paraId="10C9B3F9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 w:rsidRPr="000074C5">
              <w:t>REN-ISAC.net</w:t>
            </w:r>
            <w:r>
              <w:t>:</w:t>
            </w:r>
            <w:r>
              <w:br/>
            </w:r>
            <w:hyperlink r:id="rId8" w:history="1">
              <w:r w:rsidRPr="00D80799">
                <w:rPr>
                  <w:rStyle w:val="Hyperlink"/>
                </w:rPr>
                <w:t>http://www.ren-isac.net/about/inde</w:t>
              </w:r>
              <w:r w:rsidRPr="00D80799">
                <w:rPr>
                  <w:rStyle w:val="Hyperlink"/>
                </w:rPr>
                <w:t>x</w:t>
              </w:r>
              <w:r w:rsidRPr="00D80799">
                <w:rPr>
                  <w:rStyle w:val="Hyperlink"/>
                </w:rPr>
                <w:t>.html</w:t>
              </w:r>
            </w:hyperlink>
          </w:p>
          <w:p w14:paraId="250A1C8B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 w:rsidRPr="000074C5">
              <w:t>PCI ComplianceGuide.org</w:t>
            </w:r>
            <w:r>
              <w:br/>
            </w:r>
            <w:hyperlink r:id="rId9" w:history="1">
              <w:r w:rsidRPr="00355029">
                <w:rPr>
                  <w:rStyle w:val="Hyperlink"/>
                </w:rPr>
                <w:t>https://www.pcicomplianceg</w:t>
              </w:r>
              <w:r w:rsidRPr="00355029">
                <w:rPr>
                  <w:rStyle w:val="Hyperlink"/>
                </w:rPr>
                <w:t>u</w:t>
              </w:r>
              <w:r w:rsidRPr="00355029">
                <w:rPr>
                  <w:rStyle w:val="Hyperlink"/>
                </w:rPr>
                <w:t>ide.org/pci-faqs-2/</w:t>
              </w:r>
            </w:hyperlink>
            <w:r>
              <w:t xml:space="preserve"> </w:t>
            </w:r>
          </w:p>
          <w:p w14:paraId="0FF5C61C" w14:textId="77777777" w:rsidR="00EA0EFD" w:rsidRDefault="00EA0EFD" w:rsidP="004C34EB">
            <w:pPr>
              <w:pStyle w:val="ListParagraph"/>
            </w:pPr>
            <w:r w:rsidRPr="000074C5">
              <w:rPr>
                <w:b/>
              </w:rPr>
              <w:t>Handouts:</w:t>
            </w:r>
            <w:r>
              <w:t xml:space="preserve"> </w:t>
            </w:r>
          </w:p>
          <w:p w14:paraId="62BDC9D5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proofErr w:type="spellStart"/>
            <w:r w:rsidRPr="00550262">
              <w:t>Student_IncidentResponse</w:t>
            </w:r>
            <w:proofErr w:type="spellEnd"/>
          </w:p>
          <w:p w14:paraId="25F4C9EC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>
              <w:t>Data Breach Response</w:t>
            </w:r>
            <w:r w:rsidRPr="003E2C6D">
              <w:t xml:space="preserve"> Policy </w:t>
            </w:r>
            <w:r>
              <w:t>(</w:t>
            </w:r>
            <w:r w:rsidRPr="003E2C6D">
              <w:t>document</w:t>
            </w:r>
            <w:r>
              <w:t>)</w:t>
            </w:r>
          </w:p>
          <w:p w14:paraId="3AF31889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>
              <w:t xml:space="preserve">IT </w:t>
            </w:r>
            <w:r w:rsidRPr="001F7956">
              <w:t>Security Information Breach Notification Procedure</w:t>
            </w:r>
            <w:r w:rsidRPr="003E2C6D">
              <w:t xml:space="preserve"> </w:t>
            </w:r>
            <w:r>
              <w:t>(</w:t>
            </w:r>
            <w:r w:rsidRPr="003E2C6D">
              <w:t>document</w:t>
            </w:r>
            <w:r>
              <w:t>)</w:t>
            </w:r>
          </w:p>
          <w:p w14:paraId="1B010348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 w:rsidRPr="003E2C6D">
              <w:t>Memo</w:t>
            </w:r>
            <w:r>
              <w:t xml:space="preserve"> from XYZ College (document)</w:t>
            </w:r>
          </w:p>
          <w:p w14:paraId="10E7ADE3" w14:textId="77777777" w:rsidR="00EA0EFD" w:rsidRDefault="00EA0EFD" w:rsidP="00EA0EFD">
            <w:pPr>
              <w:pStyle w:val="List2abc"/>
              <w:numPr>
                <w:ilvl w:val="1"/>
                <w:numId w:val="3"/>
              </w:numPr>
              <w:ind w:left="776"/>
            </w:pPr>
            <w:r>
              <w:t xml:space="preserve">Security Incident Response </w:t>
            </w:r>
            <w:r w:rsidRPr="003E2C6D">
              <w:t>Questionnaire</w:t>
            </w:r>
            <w:r>
              <w:t xml:space="preserve"> (document)</w:t>
            </w:r>
          </w:p>
          <w:p w14:paraId="230690F1" w14:textId="4A4160C2" w:rsidR="00EA0EFD" w:rsidRPr="004F2783" w:rsidRDefault="00EA0EFD" w:rsidP="004C34EB">
            <w:pPr>
              <w:pStyle w:val="ListParagraph"/>
            </w:pPr>
            <w:r w:rsidRPr="0025594A">
              <w:rPr>
                <w:b/>
              </w:rPr>
              <w:t>Estimated time required:</w:t>
            </w:r>
            <w:r>
              <w:t xml:space="preserve"> 1</w:t>
            </w:r>
            <w:r w:rsidR="007522CF">
              <w:t>–</w:t>
            </w:r>
            <w:r>
              <w:t>2 hours</w:t>
            </w:r>
          </w:p>
        </w:tc>
      </w:tr>
    </w:tbl>
    <w:p w14:paraId="07CD471A" w14:textId="77777777" w:rsidR="00625719" w:rsidRPr="00DD61FC" w:rsidRDefault="00625719" w:rsidP="00DD61FC"/>
    <w:sectPr w:rsidR="00625719" w:rsidRPr="00DD61FC" w:rsidSect="00EA0EFD">
      <w:headerReference w:type="default" r:id="rId10"/>
      <w:pgSz w:w="12240" w:h="15840"/>
      <w:pgMar w:top="1440" w:right="1000" w:bottom="1440" w:left="10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4702D" w14:textId="77777777" w:rsidR="00EA0EFD" w:rsidRDefault="00EA0EFD" w:rsidP="00EA0EFD">
      <w:r>
        <w:separator/>
      </w:r>
    </w:p>
  </w:endnote>
  <w:endnote w:type="continuationSeparator" w:id="0">
    <w:p w14:paraId="467D325A" w14:textId="77777777" w:rsidR="00EA0EFD" w:rsidRDefault="00EA0EFD" w:rsidP="00EA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D584E" w14:textId="77777777" w:rsidR="00EA0EFD" w:rsidRDefault="00EA0EFD" w:rsidP="00EA0EFD">
      <w:r>
        <w:separator/>
      </w:r>
    </w:p>
  </w:footnote>
  <w:footnote w:type="continuationSeparator" w:id="0">
    <w:p w14:paraId="51AF201E" w14:textId="77777777" w:rsidR="00EA0EFD" w:rsidRDefault="00EA0EFD" w:rsidP="00EA0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2992E" w14:textId="77777777" w:rsidR="00EA0EFD" w:rsidRPr="00F71392" w:rsidRDefault="00EA0EFD" w:rsidP="00EA0EFD">
    <w:pPr>
      <w:pStyle w:val="Heading1"/>
      <w:spacing w:before="120" w:after="120"/>
      <w:jc w:val="center"/>
      <w:rPr>
        <w:sz w:val="36"/>
      </w:rPr>
    </w:pPr>
    <w:r w:rsidRPr="00F71392">
      <w:rPr>
        <w:sz w:val="36"/>
      </w:rPr>
      <w:t>C</w:t>
    </w:r>
    <w:r w:rsidR="004323AE">
      <w:rPr>
        <w:sz w:val="36"/>
      </w:rPr>
      <w:t>ybers</w:t>
    </w:r>
    <w:r w:rsidRPr="00F71392">
      <w:rPr>
        <w:sz w:val="36"/>
      </w:rPr>
      <w:t>ecurity Projects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88A37D2"/>
    <w:lvl w:ilvl="0">
      <w:numFmt w:val="bullet"/>
      <w:lvlText w:val="*"/>
      <w:lvlJc w:val="left"/>
    </w:lvl>
  </w:abstractNum>
  <w:abstractNum w:abstractNumId="1" w15:restartNumberingAfterBreak="0">
    <w:nsid w:val="18507814"/>
    <w:multiLevelType w:val="hybridMultilevel"/>
    <w:tmpl w:val="B170A9EA"/>
    <w:lvl w:ilvl="0" w:tplc="B4CC8538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51D5A"/>
    <w:multiLevelType w:val="hybridMultilevel"/>
    <w:tmpl w:val="BA362F7E"/>
    <w:lvl w:ilvl="0" w:tplc="B67AD3A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290A1D"/>
    <w:multiLevelType w:val="hybridMultilevel"/>
    <w:tmpl w:val="6AAE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Times" w:hAnsi="Times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5BB"/>
    <w:rsid w:val="00012D32"/>
    <w:rsid w:val="00026947"/>
    <w:rsid w:val="00030778"/>
    <w:rsid w:val="000313D9"/>
    <w:rsid w:val="00060591"/>
    <w:rsid w:val="00064EBA"/>
    <w:rsid w:val="000839E5"/>
    <w:rsid w:val="0009609D"/>
    <w:rsid w:val="000B1DDD"/>
    <w:rsid w:val="000C7A29"/>
    <w:rsid w:val="000C7E2E"/>
    <w:rsid w:val="000D762C"/>
    <w:rsid w:val="00101486"/>
    <w:rsid w:val="00103E38"/>
    <w:rsid w:val="001220B3"/>
    <w:rsid w:val="00123D9B"/>
    <w:rsid w:val="001359B0"/>
    <w:rsid w:val="00150D02"/>
    <w:rsid w:val="00160D24"/>
    <w:rsid w:val="00181ED7"/>
    <w:rsid w:val="0018330F"/>
    <w:rsid w:val="00197A40"/>
    <w:rsid w:val="001A1E55"/>
    <w:rsid w:val="001A76E3"/>
    <w:rsid w:val="001B07EB"/>
    <w:rsid w:val="001C0B59"/>
    <w:rsid w:val="001C5FC1"/>
    <w:rsid w:val="001E2DA7"/>
    <w:rsid w:val="00214D47"/>
    <w:rsid w:val="00217A7D"/>
    <w:rsid w:val="00230874"/>
    <w:rsid w:val="002328C4"/>
    <w:rsid w:val="002341EB"/>
    <w:rsid w:val="00234DB5"/>
    <w:rsid w:val="002370C0"/>
    <w:rsid w:val="0024410B"/>
    <w:rsid w:val="00261D9D"/>
    <w:rsid w:val="00263B0F"/>
    <w:rsid w:val="00282B03"/>
    <w:rsid w:val="0028707F"/>
    <w:rsid w:val="00291A9D"/>
    <w:rsid w:val="002A20D2"/>
    <w:rsid w:val="002A753D"/>
    <w:rsid w:val="002B2E29"/>
    <w:rsid w:val="002C1890"/>
    <w:rsid w:val="002D1867"/>
    <w:rsid w:val="002E3440"/>
    <w:rsid w:val="002E48F9"/>
    <w:rsid w:val="00317592"/>
    <w:rsid w:val="003310F1"/>
    <w:rsid w:val="00331C2A"/>
    <w:rsid w:val="003411F5"/>
    <w:rsid w:val="003570BA"/>
    <w:rsid w:val="00386152"/>
    <w:rsid w:val="003C4FE4"/>
    <w:rsid w:val="003D4EB0"/>
    <w:rsid w:val="003E2CF7"/>
    <w:rsid w:val="003E6538"/>
    <w:rsid w:val="003E6E74"/>
    <w:rsid w:val="003F3F6D"/>
    <w:rsid w:val="004106BD"/>
    <w:rsid w:val="00432239"/>
    <w:rsid w:val="004323AE"/>
    <w:rsid w:val="0044099D"/>
    <w:rsid w:val="00455DB9"/>
    <w:rsid w:val="004635B0"/>
    <w:rsid w:val="004723A7"/>
    <w:rsid w:val="00475509"/>
    <w:rsid w:val="004801B0"/>
    <w:rsid w:val="004A23EF"/>
    <w:rsid w:val="004A5E95"/>
    <w:rsid w:val="004B3B8B"/>
    <w:rsid w:val="004D3A2D"/>
    <w:rsid w:val="004F245C"/>
    <w:rsid w:val="00515FDB"/>
    <w:rsid w:val="00525409"/>
    <w:rsid w:val="00532C2B"/>
    <w:rsid w:val="00541C87"/>
    <w:rsid w:val="0055449D"/>
    <w:rsid w:val="00570AFE"/>
    <w:rsid w:val="00573322"/>
    <w:rsid w:val="00575265"/>
    <w:rsid w:val="0057556D"/>
    <w:rsid w:val="005765B8"/>
    <w:rsid w:val="0059701F"/>
    <w:rsid w:val="00597946"/>
    <w:rsid w:val="005A63D0"/>
    <w:rsid w:val="005C5685"/>
    <w:rsid w:val="005C7A68"/>
    <w:rsid w:val="005F090F"/>
    <w:rsid w:val="005F0A3E"/>
    <w:rsid w:val="005F69F1"/>
    <w:rsid w:val="00604EE7"/>
    <w:rsid w:val="00610D28"/>
    <w:rsid w:val="00615C89"/>
    <w:rsid w:val="0062328C"/>
    <w:rsid w:val="00625719"/>
    <w:rsid w:val="00635852"/>
    <w:rsid w:val="006458B5"/>
    <w:rsid w:val="00657C15"/>
    <w:rsid w:val="00673F31"/>
    <w:rsid w:val="006766E5"/>
    <w:rsid w:val="00685246"/>
    <w:rsid w:val="006A1DD4"/>
    <w:rsid w:val="006A5A38"/>
    <w:rsid w:val="006A72CA"/>
    <w:rsid w:val="006E68C9"/>
    <w:rsid w:val="00701EDD"/>
    <w:rsid w:val="00702435"/>
    <w:rsid w:val="00712155"/>
    <w:rsid w:val="0071290E"/>
    <w:rsid w:val="00744DA8"/>
    <w:rsid w:val="007522CF"/>
    <w:rsid w:val="00762845"/>
    <w:rsid w:val="007641CC"/>
    <w:rsid w:val="00764261"/>
    <w:rsid w:val="00772F4B"/>
    <w:rsid w:val="00774E3F"/>
    <w:rsid w:val="00777D4A"/>
    <w:rsid w:val="00785420"/>
    <w:rsid w:val="00796928"/>
    <w:rsid w:val="00796AAE"/>
    <w:rsid w:val="007A157B"/>
    <w:rsid w:val="007B52BA"/>
    <w:rsid w:val="007C0B6F"/>
    <w:rsid w:val="007D4FCC"/>
    <w:rsid w:val="008058D4"/>
    <w:rsid w:val="00813B4F"/>
    <w:rsid w:val="00825BEF"/>
    <w:rsid w:val="0084313F"/>
    <w:rsid w:val="008476DB"/>
    <w:rsid w:val="00847738"/>
    <w:rsid w:val="00867855"/>
    <w:rsid w:val="00871C03"/>
    <w:rsid w:val="008B5258"/>
    <w:rsid w:val="008B6DAC"/>
    <w:rsid w:val="008D11F2"/>
    <w:rsid w:val="008E6EF1"/>
    <w:rsid w:val="009205D2"/>
    <w:rsid w:val="009317FD"/>
    <w:rsid w:val="009326E2"/>
    <w:rsid w:val="00943F85"/>
    <w:rsid w:val="00961061"/>
    <w:rsid w:val="00966E4F"/>
    <w:rsid w:val="009821DE"/>
    <w:rsid w:val="00990EB4"/>
    <w:rsid w:val="0099249D"/>
    <w:rsid w:val="009A2D68"/>
    <w:rsid w:val="009A32C4"/>
    <w:rsid w:val="009A4861"/>
    <w:rsid w:val="009C2986"/>
    <w:rsid w:val="009C5D39"/>
    <w:rsid w:val="009C72A3"/>
    <w:rsid w:val="009D035A"/>
    <w:rsid w:val="009D2839"/>
    <w:rsid w:val="009D6323"/>
    <w:rsid w:val="009F138D"/>
    <w:rsid w:val="009F35BB"/>
    <w:rsid w:val="00A03470"/>
    <w:rsid w:val="00A12314"/>
    <w:rsid w:val="00A23F22"/>
    <w:rsid w:val="00A5085F"/>
    <w:rsid w:val="00A82102"/>
    <w:rsid w:val="00A92229"/>
    <w:rsid w:val="00AA6819"/>
    <w:rsid w:val="00AC3705"/>
    <w:rsid w:val="00B0028C"/>
    <w:rsid w:val="00B01334"/>
    <w:rsid w:val="00B32C8E"/>
    <w:rsid w:val="00B42B22"/>
    <w:rsid w:val="00B454F0"/>
    <w:rsid w:val="00B45C5F"/>
    <w:rsid w:val="00B47206"/>
    <w:rsid w:val="00B90DAC"/>
    <w:rsid w:val="00BA1D5E"/>
    <w:rsid w:val="00BB05FC"/>
    <w:rsid w:val="00BC6BEC"/>
    <w:rsid w:val="00C143C7"/>
    <w:rsid w:val="00C17954"/>
    <w:rsid w:val="00C62BED"/>
    <w:rsid w:val="00C74D55"/>
    <w:rsid w:val="00C8463A"/>
    <w:rsid w:val="00CA7D9F"/>
    <w:rsid w:val="00CC5557"/>
    <w:rsid w:val="00CE5E3B"/>
    <w:rsid w:val="00D25D35"/>
    <w:rsid w:val="00D703D5"/>
    <w:rsid w:val="00D8199B"/>
    <w:rsid w:val="00D93DBD"/>
    <w:rsid w:val="00DA147B"/>
    <w:rsid w:val="00DB070E"/>
    <w:rsid w:val="00DB53A4"/>
    <w:rsid w:val="00DD2152"/>
    <w:rsid w:val="00DD61FC"/>
    <w:rsid w:val="00DE1189"/>
    <w:rsid w:val="00E2201C"/>
    <w:rsid w:val="00E373A0"/>
    <w:rsid w:val="00E43ADE"/>
    <w:rsid w:val="00E67A97"/>
    <w:rsid w:val="00EA0EFD"/>
    <w:rsid w:val="00EC489A"/>
    <w:rsid w:val="00ED2238"/>
    <w:rsid w:val="00ED4BCF"/>
    <w:rsid w:val="00EF3550"/>
    <w:rsid w:val="00F112E5"/>
    <w:rsid w:val="00F235EB"/>
    <w:rsid w:val="00F24135"/>
    <w:rsid w:val="00F24892"/>
    <w:rsid w:val="00F36624"/>
    <w:rsid w:val="00F42382"/>
    <w:rsid w:val="00F618D7"/>
    <w:rsid w:val="00F70184"/>
    <w:rsid w:val="00F72366"/>
    <w:rsid w:val="00F93E9A"/>
    <w:rsid w:val="00FB6636"/>
    <w:rsid w:val="00FD5658"/>
    <w:rsid w:val="00FD678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57F89"/>
  <w15:chartTrackingRefBased/>
  <w15:docId w15:val="{C4A12047-710F-43E0-895A-EF4A2DBB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35BB"/>
    <w:pPr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3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rsid w:val="00DD61FC"/>
    <w:pPr>
      <w:numPr>
        <w:numId w:val="2"/>
      </w:numPr>
      <w:overflowPunct w:val="0"/>
      <w:spacing w:before="60"/>
      <w:textAlignment w:val="baseline"/>
    </w:pPr>
    <w:rPr>
      <w:szCs w:val="20"/>
    </w:rPr>
  </w:style>
  <w:style w:type="paragraph" w:styleId="Footer">
    <w:name w:val="footer"/>
    <w:basedOn w:val="Normal"/>
    <w:rsid w:val="00625719"/>
    <w:pPr>
      <w:tabs>
        <w:tab w:val="right" w:pos="9360"/>
      </w:tabs>
      <w:overflowPunct w:val="0"/>
      <w:textAlignment w:val="baseline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625719"/>
    <w:pPr>
      <w:tabs>
        <w:tab w:val="center" w:pos="4320"/>
        <w:tab w:val="right" w:pos="8640"/>
      </w:tabs>
      <w:spacing w:line="100" w:lineRule="exact"/>
      <w:jc w:val="right"/>
    </w:pPr>
    <w:rPr>
      <w:rFonts w:ascii="Arial" w:hAnsi="Arial"/>
      <w:sz w:val="12"/>
    </w:rPr>
  </w:style>
  <w:style w:type="character" w:customStyle="1" w:styleId="Subscript">
    <w:name w:val="Subscript"/>
    <w:basedOn w:val="DefaultParagraphFont"/>
    <w:rsid w:val="00625719"/>
    <w:rPr>
      <w:position w:val="-6"/>
      <w:sz w:val="16"/>
    </w:rPr>
  </w:style>
  <w:style w:type="character" w:customStyle="1" w:styleId="Superscript">
    <w:name w:val="Superscript"/>
    <w:basedOn w:val="DefaultParagraphFont"/>
    <w:rsid w:val="00625719"/>
    <w:rPr>
      <w:position w:val="12"/>
      <w:sz w:val="16"/>
    </w:rPr>
  </w:style>
  <w:style w:type="table" w:customStyle="1" w:styleId="TableNormal-jdc">
    <w:name w:val="Table Normal-jdc"/>
    <w:basedOn w:val="TableNormal"/>
    <w:rsid w:val="005765B8"/>
    <w:tblPr>
      <w:jc w:val="center"/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</w:style>
  <w:style w:type="paragraph" w:customStyle="1" w:styleId="numlist1">
    <w:name w:val="numlist1"/>
    <w:basedOn w:val="Normal"/>
    <w:rsid w:val="00F70184"/>
    <w:pPr>
      <w:ind w:left="36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9F35BB"/>
    <w:pPr>
      <w:numPr>
        <w:numId w:val="3"/>
      </w:numPr>
      <w:autoSpaceDE/>
      <w:autoSpaceDN/>
      <w:adjustRightInd/>
    </w:pPr>
    <w:rPr>
      <w:rFonts w:eastAsiaTheme="minorHAnsi"/>
      <w:szCs w:val="22"/>
    </w:rPr>
  </w:style>
  <w:style w:type="character" w:styleId="Hyperlink">
    <w:name w:val="Hyperlink"/>
    <w:basedOn w:val="DefaultParagraphFont"/>
    <w:unhideWhenUsed/>
    <w:rsid w:val="009F35B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F35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List2abc">
    <w:name w:val="List2 abc"/>
    <w:basedOn w:val="ListParagraph"/>
    <w:link w:val="List2abcChar"/>
    <w:qFormat/>
    <w:rsid w:val="00EA0EFD"/>
    <w:pPr>
      <w:numPr>
        <w:numId w:val="0"/>
      </w:numPr>
      <w:ind w:left="776" w:hanging="36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A0EFD"/>
    <w:rPr>
      <w:rFonts w:ascii="Century Schoolbook" w:eastAsiaTheme="minorHAnsi" w:hAnsi="Century Schoolbook"/>
      <w:sz w:val="24"/>
      <w:szCs w:val="22"/>
    </w:rPr>
  </w:style>
  <w:style w:type="character" w:customStyle="1" w:styleId="List2abcChar">
    <w:name w:val="List2 abc Char"/>
    <w:basedOn w:val="ListParagraphChar"/>
    <w:link w:val="List2abc"/>
    <w:rsid w:val="00EA0EFD"/>
    <w:rPr>
      <w:rFonts w:ascii="Century Schoolbook" w:eastAsiaTheme="minorHAnsi" w:hAnsi="Century Schoolbook"/>
      <w:sz w:val="24"/>
      <w:szCs w:val="22"/>
    </w:rPr>
  </w:style>
  <w:style w:type="character" w:styleId="FollowedHyperlink">
    <w:name w:val="FollowedHyperlink"/>
    <w:basedOn w:val="DefaultParagraphFont"/>
    <w:semiHidden/>
    <w:unhideWhenUsed/>
    <w:rsid w:val="007522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-isac.net/about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ans.org/reading-room/whitepapers/incident/incident-handlers-handbook-339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cicomplianceguide.org/pci-faqs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Chamberlain</dc:creator>
  <cp:keywords/>
  <dc:description/>
  <cp:lastModifiedBy>Mark Whitney</cp:lastModifiedBy>
  <cp:revision>4</cp:revision>
  <dcterms:created xsi:type="dcterms:W3CDTF">2017-03-01T22:59:00Z</dcterms:created>
  <dcterms:modified xsi:type="dcterms:W3CDTF">2018-09-24T18:35:00Z</dcterms:modified>
</cp:coreProperties>
</file>