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-Accent5"/>
        <w:tblW w:w="10232" w:type="dxa"/>
        <w:tblInd w:w="-365" w:type="dxa"/>
        <w:tblLook w:val="04A0" w:firstRow="1" w:lastRow="0" w:firstColumn="1" w:lastColumn="0" w:noHBand="0" w:noVBand="1"/>
      </w:tblPr>
      <w:tblGrid>
        <w:gridCol w:w="5166"/>
        <w:gridCol w:w="5066"/>
      </w:tblGrid>
      <w:tr w:rsidR="007B58B8" w:rsidRPr="00446780" w:rsidTr="00181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7B58B8" w:rsidRPr="00446780" w:rsidRDefault="00A51BC3" w:rsidP="00854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Advisee</w:t>
            </w:r>
            <w:r w:rsidR="005B58FC">
              <w:rPr>
                <w:sz w:val="24"/>
                <w:szCs w:val="24"/>
              </w:rPr>
              <w:t xml:space="preserve"> Institution</w:t>
            </w:r>
            <w:r w:rsidR="007B58B8" w:rsidRPr="00446780">
              <w:rPr>
                <w:sz w:val="24"/>
                <w:szCs w:val="24"/>
              </w:rPr>
              <w:t>: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B58B8" w:rsidRPr="00446780" w:rsidRDefault="00A51BC3" w:rsidP="00974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Advisor </w:t>
            </w:r>
            <w:r w:rsidR="005B58FC">
              <w:rPr>
                <w:sz w:val="24"/>
                <w:szCs w:val="24"/>
              </w:rPr>
              <w:t>Name</w:t>
            </w:r>
            <w:r w:rsidR="007B58B8" w:rsidRPr="00446780">
              <w:rPr>
                <w:sz w:val="24"/>
                <w:szCs w:val="24"/>
              </w:rPr>
              <w:t xml:space="preserve">: </w:t>
            </w:r>
          </w:p>
        </w:tc>
      </w:tr>
      <w:tr w:rsidR="007B58B8" w:rsidRPr="00446780" w:rsidTr="00181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B58B8" w:rsidRPr="00446780" w:rsidRDefault="005B58FC" w:rsidP="008543A0">
            <w:pPr>
              <w:rPr>
                <w:sz w:val="24"/>
                <w:szCs w:val="24"/>
              </w:rPr>
            </w:pPr>
            <w:r w:rsidRPr="00446780">
              <w:rPr>
                <w:sz w:val="24"/>
                <w:szCs w:val="24"/>
              </w:rPr>
              <w:t>Point of Contact:</w:t>
            </w:r>
          </w:p>
        </w:tc>
        <w:tc>
          <w:tcPr>
            <w:tcW w:w="506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B58B8" w:rsidRPr="001815B1" w:rsidRDefault="0097401A" w:rsidP="00854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815B1">
              <w:rPr>
                <w:b/>
                <w:sz w:val="24"/>
                <w:szCs w:val="24"/>
              </w:rPr>
              <w:t>Reporting for the month</w:t>
            </w:r>
            <w:r w:rsidR="007B58B8" w:rsidRPr="001815B1">
              <w:rPr>
                <w:b/>
                <w:sz w:val="24"/>
                <w:szCs w:val="24"/>
              </w:rPr>
              <w:t>:</w:t>
            </w:r>
          </w:p>
        </w:tc>
      </w:tr>
      <w:tr w:rsidR="007B58B8" w:rsidRPr="00446780" w:rsidTr="001815B1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7B58B8" w:rsidRPr="00446780" w:rsidRDefault="00A51BC3" w:rsidP="00854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Advisee</w:t>
            </w:r>
            <w:r w:rsidR="005B58FC">
              <w:rPr>
                <w:sz w:val="24"/>
                <w:szCs w:val="24"/>
              </w:rPr>
              <w:t xml:space="preserve"> S</w:t>
            </w:r>
            <w:r w:rsidR="007B58B8" w:rsidRPr="00446780">
              <w:rPr>
                <w:sz w:val="24"/>
                <w:szCs w:val="24"/>
              </w:rPr>
              <w:t>tart Date:</w:t>
            </w:r>
          </w:p>
        </w:tc>
        <w:tc>
          <w:tcPr>
            <w:tcW w:w="5066" w:type="dxa"/>
            <w:shd w:val="clear" w:color="auto" w:fill="DEEAF6" w:themeFill="accent1" w:themeFillTint="33"/>
          </w:tcPr>
          <w:p w:rsidR="007B58B8" w:rsidRPr="001815B1" w:rsidRDefault="007B58B8" w:rsidP="00854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815B1">
              <w:rPr>
                <w:b/>
                <w:sz w:val="24"/>
                <w:szCs w:val="24"/>
              </w:rPr>
              <w:t>Target Completion date:</w:t>
            </w:r>
          </w:p>
        </w:tc>
      </w:tr>
    </w:tbl>
    <w:p w:rsidR="00C970E9" w:rsidRDefault="00C970E9" w:rsidP="00C970E9">
      <w:pPr>
        <w:spacing w:after="0"/>
        <w:rPr>
          <w:rFonts w:ascii="Arial" w:eastAsia="Times New Roman" w:hAnsi="Arial" w:cs="Arial"/>
          <w:color w:val="222222"/>
        </w:rPr>
      </w:pPr>
    </w:p>
    <w:p w:rsidR="00C970E9" w:rsidRPr="00C970E9" w:rsidRDefault="00A51BC3" w:rsidP="00C970E9">
      <w:pPr>
        <w:spacing w:after="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Advisor</w:t>
      </w:r>
      <w:r w:rsidR="00367305">
        <w:rPr>
          <w:rFonts w:ascii="Arial" w:eastAsia="Times New Roman" w:hAnsi="Arial" w:cs="Arial"/>
          <w:color w:val="222222"/>
        </w:rPr>
        <w:t xml:space="preserve"> must submit a month</w:t>
      </w:r>
      <w:r>
        <w:rPr>
          <w:rFonts w:ascii="Arial" w:eastAsia="Times New Roman" w:hAnsi="Arial" w:cs="Arial"/>
          <w:color w:val="222222"/>
        </w:rPr>
        <w:t>ly status report for each advisee</w:t>
      </w:r>
      <w:r w:rsidR="00367305">
        <w:rPr>
          <w:rFonts w:ascii="Arial" w:eastAsia="Times New Roman" w:hAnsi="Arial" w:cs="Arial"/>
          <w:color w:val="222222"/>
        </w:rPr>
        <w:t xml:space="preserve"> institutions. </w:t>
      </w:r>
      <w:r w:rsidR="00400774">
        <w:rPr>
          <w:rFonts w:ascii="Arial" w:eastAsia="Times New Roman" w:hAnsi="Arial" w:cs="Arial"/>
          <w:color w:val="222222"/>
        </w:rPr>
        <w:t>T</w:t>
      </w:r>
      <w:r>
        <w:rPr>
          <w:rFonts w:ascii="Arial" w:eastAsia="Times New Roman" w:hAnsi="Arial" w:cs="Arial"/>
          <w:color w:val="222222"/>
        </w:rPr>
        <w:t>he Advisee</w:t>
      </w:r>
      <w:r w:rsidR="00367305">
        <w:rPr>
          <w:rFonts w:ascii="Arial" w:eastAsia="Times New Roman" w:hAnsi="Arial" w:cs="Arial"/>
          <w:color w:val="222222"/>
        </w:rPr>
        <w:t xml:space="preserve"> College </w:t>
      </w:r>
      <w:r w:rsidR="00400774">
        <w:rPr>
          <w:rFonts w:ascii="Arial" w:eastAsia="Times New Roman" w:hAnsi="Arial" w:cs="Arial"/>
          <w:color w:val="222222"/>
        </w:rPr>
        <w:t>is expected to</w:t>
      </w:r>
      <w:r w:rsidR="00367305">
        <w:rPr>
          <w:rFonts w:ascii="Arial" w:eastAsia="Times New Roman" w:hAnsi="Arial" w:cs="Arial"/>
          <w:color w:val="222222"/>
        </w:rPr>
        <w:t xml:space="preserve"> make notable </w:t>
      </w:r>
      <w:r w:rsidR="00C970E9" w:rsidRPr="00C970E9">
        <w:rPr>
          <w:rFonts w:ascii="Arial" w:eastAsia="Times New Roman" w:hAnsi="Arial" w:cs="Arial"/>
          <w:color w:val="222222"/>
        </w:rPr>
        <w:t>progress toward</w:t>
      </w:r>
      <w:r>
        <w:rPr>
          <w:rFonts w:ascii="Arial" w:eastAsia="Times New Roman" w:hAnsi="Arial" w:cs="Arial"/>
          <w:color w:val="222222"/>
        </w:rPr>
        <w:t xml:space="preserve"> developing their selected Program of Study</w:t>
      </w:r>
      <w:r w:rsidR="00C970E9" w:rsidRPr="00C970E9">
        <w:rPr>
          <w:rFonts w:ascii="Arial" w:eastAsia="Times New Roman" w:hAnsi="Arial" w:cs="Arial"/>
          <w:color w:val="222222"/>
        </w:rPr>
        <w:t xml:space="preserve">. </w:t>
      </w:r>
      <w:r w:rsidR="00367305">
        <w:rPr>
          <w:rFonts w:ascii="Arial" w:eastAsia="Times New Roman" w:hAnsi="Arial" w:cs="Arial"/>
          <w:color w:val="222222"/>
        </w:rPr>
        <w:t xml:space="preserve">If </w:t>
      </w:r>
      <w:r>
        <w:rPr>
          <w:rFonts w:ascii="Arial" w:eastAsia="Times New Roman" w:hAnsi="Arial" w:cs="Arial"/>
          <w:color w:val="222222"/>
        </w:rPr>
        <w:t xml:space="preserve">progress is not made, the advisee institution may be removed from Program Development. </w:t>
      </w:r>
      <w:r w:rsidR="00400774">
        <w:rPr>
          <w:rFonts w:ascii="Arial" w:eastAsia="Times New Roman" w:hAnsi="Arial" w:cs="Arial"/>
          <w:color w:val="222222"/>
        </w:rPr>
        <w:t xml:space="preserve"> </w:t>
      </w:r>
    </w:p>
    <w:p w:rsidR="007B58B8" w:rsidRDefault="007B58B8" w:rsidP="008543A0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E409C4" w:rsidRDefault="00E409C4" w:rsidP="008543A0">
      <w:pPr>
        <w:rPr>
          <w:sz w:val="24"/>
          <w:szCs w:val="24"/>
        </w:rPr>
      </w:pPr>
    </w:p>
    <w:p w:rsidR="00E409C4" w:rsidRPr="005B58FC" w:rsidRDefault="004C0B41" w:rsidP="005B58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B58FC">
        <w:rPr>
          <w:b/>
          <w:sz w:val="24"/>
          <w:szCs w:val="24"/>
        </w:rPr>
        <w:t>Please provide a summary of progress</w:t>
      </w:r>
      <w:r w:rsidR="00A51BC3">
        <w:rPr>
          <w:b/>
          <w:sz w:val="24"/>
          <w:szCs w:val="24"/>
        </w:rPr>
        <w:t xml:space="preserve"> made</w:t>
      </w:r>
      <w:bookmarkStart w:id="0" w:name="_GoBack"/>
      <w:bookmarkEnd w:id="0"/>
      <w:r w:rsidR="00A51BC3">
        <w:rPr>
          <w:b/>
          <w:sz w:val="24"/>
          <w:szCs w:val="24"/>
        </w:rPr>
        <w:t xml:space="preserve">. </w:t>
      </w:r>
    </w:p>
    <w:p w:rsidR="005B58FC" w:rsidRDefault="005B58FC" w:rsidP="008543A0">
      <w:pPr>
        <w:rPr>
          <w:sz w:val="24"/>
          <w:szCs w:val="24"/>
        </w:rPr>
      </w:pPr>
      <w:r w:rsidRPr="00E409C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5969000" cy="8890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9C4" w:rsidRDefault="00E409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8pt;margin-top:21.95pt;width:470pt;height:7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">
                <v:textbox>
                  <w:txbxContent>
                    <w:p w:rsidR="00E409C4" w:rsidRDefault="00E409C4"/>
                  </w:txbxContent>
                </v:textbox>
                <w10:wrap type="square" anchorx="margin"/>
              </v:shape>
            </w:pict>
          </mc:Fallback>
        </mc:AlternateContent>
      </w:r>
    </w:p>
    <w:p w:rsidR="005B58FC" w:rsidRDefault="005B58FC" w:rsidP="008543A0">
      <w:pPr>
        <w:rPr>
          <w:sz w:val="24"/>
          <w:szCs w:val="24"/>
        </w:rPr>
      </w:pPr>
    </w:p>
    <w:p w:rsidR="005B58FC" w:rsidRDefault="005B58FC" w:rsidP="008543A0">
      <w:pPr>
        <w:rPr>
          <w:sz w:val="24"/>
          <w:szCs w:val="24"/>
        </w:rPr>
      </w:pPr>
    </w:p>
    <w:p w:rsidR="005B58FC" w:rsidRPr="005B58FC" w:rsidRDefault="005B58FC" w:rsidP="005B58F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</w:rPr>
      </w:pPr>
      <w:r w:rsidRPr="005B58FC">
        <w:rPr>
          <w:rFonts w:ascii="Arial" w:eastAsia="Times New Roman" w:hAnsi="Arial" w:cs="Arial"/>
          <w:b/>
          <w:color w:val="222222"/>
        </w:rPr>
        <w:t>The following table shows the series of steps and chronology to comp</w:t>
      </w:r>
      <w:r w:rsidR="00A51BC3">
        <w:rPr>
          <w:rFonts w:ascii="Arial" w:eastAsia="Times New Roman" w:hAnsi="Arial" w:cs="Arial"/>
          <w:b/>
          <w:color w:val="222222"/>
        </w:rPr>
        <w:t>lete this Program Development</w:t>
      </w:r>
      <w:r w:rsidRPr="005B58FC">
        <w:rPr>
          <w:rFonts w:ascii="Arial" w:eastAsia="Times New Roman" w:hAnsi="Arial" w:cs="Arial"/>
          <w:b/>
          <w:color w:val="222222"/>
        </w:rPr>
        <w:t xml:space="preserve"> plan. A target deadline for all of the activities to be accomplished is included.</w:t>
      </w:r>
    </w:p>
    <w:p w:rsidR="005B58FC" w:rsidRDefault="005B58FC" w:rsidP="008543A0">
      <w:pPr>
        <w:rPr>
          <w:sz w:val="24"/>
          <w:szCs w:val="24"/>
        </w:rPr>
      </w:pPr>
    </w:p>
    <w:tbl>
      <w:tblPr>
        <w:tblStyle w:val="GridTable1Light-Accent5"/>
        <w:tblW w:w="102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520"/>
        <w:gridCol w:w="4590"/>
        <w:gridCol w:w="1170"/>
        <w:gridCol w:w="1080"/>
        <w:gridCol w:w="900"/>
      </w:tblGrid>
      <w:tr w:rsidR="00400774" w:rsidTr="004A2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400774" w:rsidRPr="007B58B8" w:rsidRDefault="00400774" w:rsidP="004A2888">
            <w:pPr>
              <w:jc w:val="center"/>
              <w:rPr>
                <w:sz w:val="18"/>
                <w:szCs w:val="18"/>
              </w:rPr>
            </w:pPr>
            <w:r w:rsidRPr="007B58B8">
              <w:rPr>
                <w:sz w:val="18"/>
                <w:szCs w:val="18"/>
                <w:u w:val="single"/>
              </w:rPr>
              <w:t>What</w:t>
            </w:r>
          </w:p>
        </w:tc>
        <w:tc>
          <w:tcPr>
            <w:tcW w:w="4590" w:type="dxa"/>
          </w:tcPr>
          <w:p w:rsidR="00400774" w:rsidRPr="007B58B8" w:rsidRDefault="00400774" w:rsidP="004A28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58B8">
              <w:rPr>
                <w:sz w:val="18"/>
                <w:szCs w:val="18"/>
                <w:u w:val="single"/>
              </w:rPr>
              <w:t>How</w:t>
            </w:r>
          </w:p>
        </w:tc>
        <w:tc>
          <w:tcPr>
            <w:tcW w:w="1170" w:type="dxa"/>
          </w:tcPr>
          <w:p w:rsidR="00400774" w:rsidRPr="007B58B8" w:rsidRDefault="00400774" w:rsidP="004A2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7B58B8">
              <w:rPr>
                <w:sz w:val="18"/>
                <w:szCs w:val="18"/>
              </w:rPr>
              <w:t>Percent completed as of this report</w:t>
            </w:r>
          </w:p>
        </w:tc>
        <w:tc>
          <w:tcPr>
            <w:tcW w:w="1080" w:type="dxa"/>
          </w:tcPr>
          <w:p w:rsidR="00400774" w:rsidRPr="007B58B8" w:rsidRDefault="00400774" w:rsidP="004A2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u w:val="single"/>
              </w:rPr>
            </w:pPr>
            <w:r w:rsidRPr="007B58B8">
              <w:rPr>
                <w:sz w:val="18"/>
                <w:szCs w:val="18"/>
                <w:u w:val="single"/>
              </w:rPr>
              <w:t>Expected completion date</w:t>
            </w:r>
          </w:p>
        </w:tc>
        <w:tc>
          <w:tcPr>
            <w:tcW w:w="900" w:type="dxa"/>
          </w:tcPr>
          <w:p w:rsidR="00400774" w:rsidRPr="007B58B8" w:rsidRDefault="00400774" w:rsidP="004A2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u w:val="single"/>
              </w:rPr>
            </w:pPr>
            <w:r w:rsidRPr="007B58B8">
              <w:rPr>
                <w:sz w:val="18"/>
                <w:szCs w:val="18"/>
                <w:u w:val="single"/>
              </w:rPr>
              <w:t>Date completed</w:t>
            </w:r>
          </w:p>
        </w:tc>
      </w:tr>
      <w:tr w:rsidR="00400774" w:rsidTr="004A2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400774" w:rsidRPr="00095133" w:rsidRDefault="00400774" w:rsidP="004A2888">
            <w:pPr>
              <w:rPr>
                <w:b w:val="0"/>
                <w:i/>
                <w:color w:val="FF0000"/>
              </w:rPr>
            </w:pPr>
          </w:p>
        </w:tc>
        <w:tc>
          <w:tcPr>
            <w:tcW w:w="4590" w:type="dxa"/>
          </w:tcPr>
          <w:p w:rsidR="00400774" w:rsidRPr="00095133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17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0774" w:rsidTr="004A2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400774" w:rsidRPr="00095133" w:rsidRDefault="00400774" w:rsidP="004A2888">
            <w:pPr>
              <w:rPr>
                <w:i/>
                <w:color w:val="FF0000"/>
              </w:rPr>
            </w:pPr>
          </w:p>
        </w:tc>
        <w:tc>
          <w:tcPr>
            <w:tcW w:w="4590" w:type="dxa"/>
          </w:tcPr>
          <w:p w:rsidR="00400774" w:rsidRPr="00095133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17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0774" w:rsidTr="004A2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400774" w:rsidRPr="00095133" w:rsidRDefault="00400774" w:rsidP="004A2888">
            <w:pPr>
              <w:rPr>
                <w:i/>
                <w:color w:val="FF0000"/>
              </w:rPr>
            </w:pPr>
          </w:p>
        </w:tc>
        <w:tc>
          <w:tcPr>
            <w:tcW w:w="4590" w:type="dxa"/>
          </w:tcPr>
          <w:p w:rsidR="00400774" w:rsidRPr="00095133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17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0774" w:rsidTr="004A2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400774" w:rsidRPr="00095133" w:rsidRDefault="00400774" w:rsidP="004A2888">
            <w:pPr>
              <w:rPr>
                <w:i/>
                <w:color w:val="FF0000"/>
              </w:rPr>
            </w:pPr>
          </w:p>
        </w:tc>
        <w:tc>
          <w:tcPr>
            <w:tcW w:w="4590" w:type="dxa"/>
          </w:tcPr>
          <w:p w:rsidR="00400774" w:rsidRPr="00095133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17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0774" w:rsidTr="004A2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400774" w:rsidRPr="00095133" w:rsidRDefault="00400774" w:rsidP="004A2888">
            <w:pPr>
              <w:rPr>
                <w:i/>
                <w:color w:val="FF0000"/>
              </w:rPr>
            </w:pPr>
          </w:p>
        </w:tc>
        <w:tc>
          <w:tcPr>
            <w:tcW w:w="4590" w:type="dxa"/>
          </w:tcPr>
          <w:p w:rsidR="00400774" w:rsidRPr="00095133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17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0774" w:rsidTr="004A2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400774" w:rsidRPr="00095133" w:rsidRDefault="00400774" w:rsidP="004A2888">
            <w:pPr>
              <w:rPr>
                <w:i/>
                <w:color w:val="FF0000"/>
              </w:rPr>
            </w:pPr>
          </w:p>
        </w:tc>
        <w:tc>
          <w:tcPr>
            <w:tcW w:w="4590" w:type="dxa"/>
          </w:tcPr>
          <w:p w:rsidR="00400774" w:rsidRPr="00095133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17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0774" w:rsidTr="004A2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400774" w:rsidRPr="00095133" w:rsidRDefault="00400774" w:rsidP="004A2888">
            <w:pPr>
              <w:rPr>
                <w:b w:val="0"/>
                <w:i/>
                <w:color w:val="FF0000"/>
              </w:rPr>
            </w:pPr>
          </w:p>
        </w:tc>
        <w:tc>
          <w:tcPr>
            <w:tcW w:w="4590" w:type="dxa"/>
          </w:tcPr>
          <w:p w:rsidR="00400774" w:rsidRPr="00095133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17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0774" w:rsidTr="004A2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400774" w:rsidRPr="00095133" w:rsidRDefault="00400774" w:rsidP="004A2888">
            <w:pPr>
              <w:rPr>
                <w:i/>
                <w:color w:val="FF0000"/>
              </w:rPr>
            </w:pPr>
          </w:p>
        </w:tc>
        <w:tc>
          <w:tcPr>
            <w:tcW w:w="4590" w:type="dxa"/>
          </w:tcPr>
          <w:p w:rsidR="00400774" w:rsidRPr="00095133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17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0774" w:rsidTr="004A2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400774" w:rsidRPr="00095133" w:rsidRDefault="00400774" w:rsidP="004A2888">
            <w:pPr>
              <w:rPr>
                <w:i/>
                <w:color w:val="FF0000"/>
              </w:rPr>
            </w:pPr>
          </w:p>
        </w:tc>
        <w:tc>
          <w:tcPr>
            <w:tcW w:w="4590" w:type="dxa"/>
          </w:tcPr>
          <w:p w:rsidR="00400774" w:rsidRPr="00095133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17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0774" w:rsidTr="004A2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400774" w:rsidRPr="00095133" w:rsidRDefault="00400774" w:rsidP="004A2888">
            <w:pPr>
              <w:rPr>
                <w:i/>
                <w:color w:val="FF0000"/>
              </w:rPr>
            </w:pPr>
          </w:p>
        </w:tc>
        <w:tc>
          <w:tcPr>
            <w:tcW w:w="4590" w:type="dxa"/>
          </w:tcPr>
          <w:p w:rsidR="00400774" w:rsidRPr="00095133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17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0774" w:rsidTr="004A2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400774" w:rsidRPr="00095133" w:rsidRDefault="00400774" w:rsidP="004A2888">
            <w:pPr>
              <w:rPr>
                <w:i/>
                <w:color w:val="FF0000"/>
              </w:rPr>
            </w:pPr>
          </w:p>
        </w:tc>
        <w:tc>
          <w:tcPr>
            <w:tcW w:w="4590" w:type="dxa"/>
          </w:tcPr>
          <w:p w:rsidR="00400774" w:rsidRPr="00095133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17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00774" w:rsidRDefault="00400774" w:rsidP="004A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74EF5" w:rsidRPr="00F57A01" w:rsidRDefault="00974EF5" w:rsidP="008543A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FILLIN   \* MERGEFORMAT </w:instrText>
      </w:r>
      <w:r>
        <w:rPr>
          <w:sz w:val="24"/>
          <w:szCs w:val="24"/>
        </w:rPr>
        <w:fldChar w:fldCharType="end"/>
      </w:r>
    </w:p>
    <w:sectPr w:rsidR="00974EF5" w:rsidRPr="00F57A01" w:rsidSect="00974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35" w:rsidRDefault="003A5335" w:rsidP="003A5335">
      <w:pPr>
        <w:spacing w:after="0" w:line="240" w:lineRule="auto"/>
      </w:pPr>
      <w:r>
        <w:separator/>
      </w:r>
    </w:p>
  </w:endnote>
  <w:endnote w:type="continuationSeparator" w:id="0">
    <w:p w:rsidR="003A5335" w:rsidRDefault="003A5335" w:rsidP="003A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44A" w:rsidRDefault="00B76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44A" w:rsidRDefault="00B764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44A" w:rsidRDefault="00B76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35" w:rsidRDefault="003A5335" w:rsidP="003A5335">
      <w:pPr>
        <w:spacing w:after="0" w:line="240" w:lineRule="auto"/>
      </w:pPr>
      <w:r>
        <w:separator/>
      </w:r>
    </w:p>
  </w:footnote>
  <w:footnote w:type="continuationSeparator" w:id="0">
    <w:p w:rsidR="003A5335" w:rsidRDefault="003A5335" w:rsidP="003A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44A" w:rsidRDefault="00B76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93" w:rsidRDefault="0097401A" w:rsidP="0097401A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28"/>
        <w:szCs w:val="28"/>
      </w:rPr>
    </w:pPr>
    <w:r>
      <w:rPr>
        <w:rFonts w:ascii="Arial" w:eastAsia="Times New Roman" w:hAnsi="Arial" w:cs="Arial"/>
        <w:color w:val="222222"/>
        <w:sz w:val="28"/>
        <w:szCs w:val="28"/>
      </w:rPr>
      <w:t>Monthly Status Report</w:t>
    </w:r>
    <w:r w:rsidR="00FB5D93">
      <w:rPr>
        <w:rFonts w:ascii="Arial" w:eastAsia="Times New Roman" w:hAnsi="Arial" w:cs="Arial"/>
        <w:color w:val="222222"/>
        <w:sz w:val="28"/>
        <w:szCs w:val="28"/>
      </w:rPr>
      <w:t xml:space="preserve"> </w:t>
    </w:r>
  </w:p>
  <w:p w:rsidR="003A5335" w:rsidRPr="0097401A" w:rsidRDefault="00367305" w:rsidP="0097401A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28"/>
        <w:szCs w:val="28"/>
      </w:rPr>
    </w:pPr>
    <w:r>
      <w:rPr>
        <w:rFonts w:ascii="Arial" w:eastAsia="Times New Roman" w:hAnsi="Arial" w:cs="Arial"/>
        <w:color w:val="222222"/>
        <w:sz w:val="28"/>
        <w:szCs w:val="28"/>
      </w:rPr>
      <w:t>Milestone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44A" w:rsidRDefault="00B764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86FB8"/>
    <w:multiLevelType w:val="hybridMultilevel"/>
    <w:tmpl w:val="C590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BA"/>
    <w:rsid w:val="00095133"/>
    <w:rsid w:val="001724DA"/>
    <w:rsid w:val="00177F85"/>
    <w:rsid w:val="001815B1"/>
    <w:rsid w:val="001C2B81"/>
    <w:rsid w:val="002509BA"/>
    <w:rsid w:val="00367305"/>
    <w:rsid w:val="003A5335"/>
    <w:rsid w:val="003F7E70"/>
    <w:rsid w:val="00400774"/>
    <w:rsid w:val="00446780"/>
    <w:rsid w:val="00484110"/>
    <w:rsid w:val="004C0B41"/>
    <w:rsid w:val="004F3CEF"/>
    <w:rsid w:val="00524F2D"/>
    <w:rsid w:val="00575DB6"/>
    <w:rsid w:val="005B58FC"/>
    <w:rsid w:val="00652460"/>
    <w:rsid w:val="007B58B8"/>
    <w:rsid w:val="0081509E"/>
    <w:rsid w:val="008543A0"/>
    <w:rsid w:val="008C0EFA"/>
    <w:rsid w:val="008F6BE4"/>
    <w:rsid w:val="0097401A"/>
    <w:rsid w:val="00974EF5"/>
    <w:rsid w:val="00A51BC3"/>
    <w:rsid w:val="00B26C8B"/>
    <w:rsid w:val="00B4786E"/>
    <w:rsid w:val="00B6026B"/>
    <w:rsid w:val="00B7644A"/>
    <w:rsid w:val="00C970E9"/>
    <w:rsid w:val="00D33539"/>
    <w:rsid w:val="00DA7B84"/>
    <w:rsid w:val="00E409C4"/>
    <w:rsid w:val="00E62297"/>
    <w:rsid w:val="00EE666C"/>
    <w:rsid w:val="00F57A01"/>
    <w:rsid w:val="00FB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47F8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09BA"/>
  </w:style>
  <w:style w:type="table" w:styleId="TableGrid">
    <w:name w:val="Table Grid"/>
    <w:basedOn w:val="TableNormal"/>
    <w:uiPriority w:val="39"/>
    <w:rsid w:val="0025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43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ListTable6Colorful-Accent5">
    <w:name w:val="List Table 6 Colorful Accent 5"/>
    <w:basedOn w:val="TableNormal"/>
    <w:uiPriority w:val="51"/>
    <w:rsid w:val="007B58B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6026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B6026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A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335"/>
  </w:style>
  <w:style w:type="paragraph" w:styleId="Footer">
    <w:name w:val="footer"/>
    <w:basedOn w:val="Normal"/>
    <w:link w:val="FooterChar"/>
    <w:uiPriority w:val="99"/>
    <w:unhideWhenUsed/>
    <w:rsid w:val="003A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335"/>
  </w:style>
  <w:style w:type="character" w:styleId="Hyperlink">
    <w:name w:val="Hyperlink"/>
    <w:basedOn w:val="DefaultParagraphFont"/>
    <w:uiPriority w:val="99"/>
    <w:unhideWhenUsed/>
    <w:rsid w:val="003A53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B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5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0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15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6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F1D5-53FE-42B0-980C-107BD204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2020-10-29T21:01:00Z</dcterms:created>
  <dcterms:modified xsi:type="dcterms:W3CDTF">2020-11-10T22:38:00Z</dcterms:modified>
</cp:coreProperties>
</file>